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C65DD1" w:rsidTr="00F83C6B">
        <w:tc>
          <w:tcPr>
            <w:tcW w:w="9288" w:type="dxa"/>
            <w:gridSpan w:val="2"/>
            <w:shd w:val="clear" w:color="auto" w:fill="FF0000"/>
          </w:tcPr>
          <w:p w:rsidR="001D6575" w:rsidRPr="00C65DD1" w:rsidRDefault="001D6575" w:rsidP="00F83C6B">
            <w:pPr>
              <w:jc w:val="center"/>
              <w:rPr>
                <w:rFonts w:ascii="Arial" w:hAnsi="Arial" w:cs="Arial"/>
                <w:b/>
                <w:color w:val="FFFFFF"/>
                <w:sz w:val="36"/>
                <w:szCs w:val="36"/>
                <w:lang w:val="en-US"/>
              </w:rPr>
            </w:pPr>
            <w:r>
              <w:rPr>
                <w:rFonts w:ascii="Arial" w:hAnsi="Arial" w:cs="Arial"/>
                <w:b/>
                <w:bCs/>
                <w:color w:val="FFFFFF"/>
                <w:sz w:val="36"/>
                <w:szCs w:val="36"/>
                <w:lang w:val="fr-FR"/>
              </w:rPr>
              <w:t>Instructions de service</w:t>
            </w:r>
          </w:p>
          <w:p w:rsidR="001D6575" w:rsidRPr="00C65DD1" w:rsidRDefault="001D6575" w:rsidP="00645973">
            <w:pPr>
              <w:jc w:val="center"/>
              <w:rPr>
                <w:rFonts w:ascii="Arial" w:hAnsi="Arial" w:cs="Arial"/>
                <w:color w:val="FFFFFF"/>
                <w:spacing w:val="14"/>
                <w:sz w:val="18"/>
                <w:szCs w:val="18"/>
                <w:shd w:val="clear" w:color="auto" w:fill="FE0000"/>
                <w:lang w:val="en-US"/>
              </w:rPr>
            </w:pPr>
            <w:proofErr w:type="gramStart"/>
            <w:r>
              <w:rPr>
                <w:rFonts w:ascii="Arial" w:hAnsi="Arial" w:cs="Arial"/>
                <w:color w:val="FFFFFF"/>
                <w:sz w:val="18"/>
                <w:szCs w:val="18"/>
                <w:shd w:val="clear" w:color="auto" w:fill="FE0000"/>
                <w:lang w:val="fr-FR"/>
              </w:rPr>
              <w:t>selon</w:t>
            </w:r>
            <w:proofErr w:type="gramEnd"/>
            <w:r>
              <w:rPr>
                <w:rFonts w:ascii="Arial" w:hAnsi="Arial" w:cs="Arial"/>
                <w:color w:val="FFFFFF"/>
                <w:sz w:val="18"/>
                <w:szCs w:val="18"/>
                <w:shd w:val="clear" w:color="auto" w:fill="FE0000"/>
                <w:lang w:val="fr-FR"/>
              </w:rPr>
              <w:t xml:space="preserve"> § 14 </w:t>
            </w:r>
            <w:proofErr w:type="spellStart"/>
            <w:r>
              <w:rPr>
                <w:rFonts w:ascii="Arial" w:hAnsi="Arial" w:cs="Arial"/>
                <w:color w:val="FFFFFF"/>
                <w:sz w:val="18"/>
                <w:szCs w:val="18"/>
                <w:shd w:val="clear" w:color="auto" w:fill="FE0000"/>
                <w:lang w:val="fr-FR"/>
              </w:rPr>
              <w:t>GefStoffV</w:t>
            </w:r>
            <w:proofErr w:type="spellEnd"/>
            <w:r>
              <w:rPr>
                <w:rFonts w:ascii="Arial" w:hAnsi="Arial" w:cs="Arial"/>
                <w:color w:val="FFFFFF"/>
                <w:sz w:val="18"/>
                <w:szCs w:val="18"/>
                <w:shd w:val="clear" w:color="auto" w:fill="FE0000"/>
                <w:lang w:val="fr-FR"/>
              </w:rPr>
              <w:t xml:space="preserve"> (règlement sur les produits dangereux)</w:t>
            </w:r>
          </w:p>
        </w:tc>
      </w:tr>
      <w:tr w:rsidR="001D6575" w:rsidRPr="00F83C6B" w:rsidTr="00F83C6B">
        <w:tc>
          <w:tcPr>
            <w:tcW w:w="2025" w:type="dxa"/>
            <w:tcBorders>
              <w:bottom w:val="single" w:sz="4" w:space="0" w:color="auto"/>
            </w:tcBorders>
            <w:shd w:val="clear" w:color="auto" w:fill="auto"/>
          </w:tcPr>
          <w:p w:rsidR="001D6575" w:rsidRPr="00C65DD1" w:rsidRDefault="001D6575" w:rsidP="00C839E1">
            <w:pPr>
              <w:rPr>
                <w:rFonts w:ascii="Arial" w:hAnsi="Arial" w:cs="Arial"/>
                <w:b/>
                <w:sz w:val="20"/>
                <w:szCs w:val="20"/>
                <w:lang w:val="en-US"/>
              </w:rPr>
            </w:pPr>
            <w:r w:rsidRPr="00C65DD1">
              <w:rPr>
                <w:rFonts w:ascii="Arial" w:hAnsi="Arial" w:cs="Arial"/>
                <w:b/>
                <w:bCs/>
                <w:sz w:val="20"/>
                <w:szCs w:val="20"/>
                <w:lang w:val="fr-FR"/>
              </w:rPr>
              <w:t>Secteur d’activité :</w:t>
            </w:r>
          </w:p>
          <w:p w:rsidR="001D6575" w:rsidRPr="00C65DD1" w:rsidRDefault="001D6575" w:rsidP="00C839E1">
            <w:pPr>
              <w:rPr>
                <w:rFonts w:ascii="Arial" w:hAnsi="Arial" w:cs="Arial"/>
                <w:b/>
                <w:sz w:val="20"/>
                <w:szCs w:val="20"/>
                <w:lang w:val="en-US"/>
              </w:rPr>
            </w:pPr>
            <w:r w:rsidRPr="00C65DD1">
              <w:rPr>
                <w:rFonts w:ascii="Arial" w:hAnsi="Arial" w:cs="Arial"/>
                <w:b/>
                <w:bCs/>
                <w:sz w:val="20"/>
                <w:szCs w:val="20"/>
                <w:lang w:val="fr-FR"/>
              </w:rPr>
              <w:t>Lieu de travail :</w:t>
            </w:r>
          </w:p>
          <w:p w:rsidR="001D6575" w:rsidRPr="00F83C6B" w:rsidRDefault="001D6575" w:rsidP="00C839E1">
            <w:pPr>
              <w:rPr>
                <w:rFonts w:ascii="Arial" w:hAnsi="Arial" w:cs="Arial"/>
              </w:rPr>
            </w:pPr>
            <w:r w:rsidRPr="00C65DD1">
              <w:rPr>
                <w:rFonts w:ascii="Arial" w:hAnsi="Arial" w:cs="Arial"/>
                <w:b/>
                <w:bCs/>
                <w:sz w:val="20"/>
                <w:szCs w:val="20"/>
                <w:lang w:val="fr-FR"/>
              </w:rPr>
              <w:t>Activité :</w:t>
            </w:r>
          </w:p>
        </w:tc>
        <w:tc>
          <w:tcPr>
            <w:tcW w:w="7263" w:type="dxa"/>
            <w:tcBorders>
              <w:bottom w:val="single" w:sz="4" w:space="0" w:color="auto"/>
            </w:tcBorders>
            <w:shd w:val="clear" w:color="auto" w:fill="auto"/>
          </w:tcPr>
          <w:p w:rsidR="001D6575" w:rsidRPr="00F83C6B" w:rsidRDefault="001D6575" w:rsidP="00C839E1">
            <w:pPr>
              <w:rPr>
                <w:rFonts w:ascii="Arial" w:hAnsi="Arial" w:cs="Arial"/>
              </w:rPr>
            </w:pP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fr-FR"/>
              </w:rPr>
              <w:t>Désignation du produit dangereux</w:t>
            </w:r>
          </w:p>
        </w:tc>
      </w:tr>
      <w:tr w:rsidR="001D6575" w:rsidRPr="00F83C6B" w:rsidTr="00F83C6B">
        <w:tc>
          <w:tcPr>
            <w:tcW w:w="9288" w:type="dxa"/>
            <w:gridSpan w:val="2"/>
            <w:tcBorders>
              <w:bottom w:val="single" w:sz="4" w:space="0" w:color="auto"/>
            </w:tcBorders>
            <w:shd w:val="clear" w:color="auto" w:fill="auto"/>
          </w:tcPr>
          <w:p w:rsidR="001D6575" w:rsidRPr="00F83C6B" w:rsidRDefault="00D44CEF" w:rsidP="00F83C6B">
            <w:pPr>
              <w:jc w:val="center"/>
              <w:rPr>
                <w:rFonts w:ascii="Arial" w:hAnsi="Arial" w:cs="Arial"/>
                <w:b/>
                <w:bCs/>
                <w:spacing w:val="2"/>
                <w:sz w:val="40"/>
                <w:szCs w:val="40"/>
              </w:rPr>
            </w:pPr>
            <w:proofErr w:type="spellStart"/>
            <w:r>
              <w:rPr>
                <w:rFonts w:ascii="Helvetica-Bold" w:hAnsi="Helvetica-Bold" w:cs="Helvetica-Bold"/>
                <w:b/>
                <w:bCs/>
                <w:sz w:val="40"/>
                <w:szCs w:val="40"/>
                <w:lang w:val="fr-FR"/>
              </w:rPr>
              <w:t>Cleanet</w:t>
            </w:r>
            <w:proofErr w:type="spellEnd"/>
            <w:r>
              <w:rPr>
                <w:rFonts w:ascii="Helvetica-Bold" w:hAnsi="Helvetica-Bold" w:cs="Helvetica-Bold"/>
                <w:b/>
                <w:bCs/>
                <w:sz w:val="40"/>
                <w:szCs w:val="40"/>
                <w:vertAlign w:val="superscript"/>
                <w:lang w:val="fr-FR"/>
              </w:rPr>
              <w:t>®</w:t>
            </w:r>
            <w:r>
              <w:rPr>
                <w:rFonts w:ascii="Helvetica-Bold" w:hAnsi="Helvetica-Bold" w:cs="Helvetica-Bold"/>
                <w:b/>
                <w:bCs/>
                <w:sz w:val="40"/>
                <w:szCs w:val="40"/>
                <w:lang w:val="fr-FR"/>
              </w:rPr>
              <w:t xml:space="preserve"> OR 6</w:t>
            </w:r>
          </w:p>
        </w:tc>
      </w:tr>
      <w:tr w:rsidR="001D6575" w:rsidRPr="00C65DD1" w:rsidTr="00F83C6B">
        <w:tc>
          <w:tcPr>
            <w:tcW w:w="9288" w:type="dxa"/>
            <w:gridSpan w:val="2"/>
            <w:shd w:val="clear" w:color="auto" w:fill="FF0000"/>
          </w:tcPr>
          <w:p w:rsidR="001D6575" w:rsidRPr="00C65DD1"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fr-FR"/>
              </w:rPr>
              <w:t>Risques pour l'homme et l'environnement</w:t>
            </w:r>
          </w:p>
        </w:tc>
      </w:tr>
      <w:tr w:rsidR="001D6575" w:rsidRPr="00C65DD1" w:rsidTr="00F83C6B">
        <w:trPr>
          <w:trHeight w:val="701"/>
        </w:trPr>
        <w:tc>
          <w:tcPr>
            <w:tcW w:w="2025" w:type="dxa"/>
            <w:tcBorders>
              <w:bottom w:val="single" w:sz="4" w:space="0" w:color="auto"/>
            </w:tcBorders>
            <w:shd w:val="clear" w:color="auto" w:fill="auto"/>
          </w:tcPr>
          <w:p w:rsidR="001E2CF2" w:rsidRPr="00C65DD1" w:rsidRDefault="001E2CF2" w:rsidP="00D44CEF">
            <w:pPr>
              <w:rPr>
                <w:rFonts w:ascii="Arial" w:hAnsi="Arial" w:cs="Arial"/>
                <w:lang w:val="en-US"/>
              </w:rPr>
            </w:pPr>
          </w:p>
        </w:tc>
        <w:tc>
          <w:tcPr>
            <w:tcW w:w="7263" w:type="dxa"/>
            <w:tcBorders>
              <w:bottom w:val="single" w:sz="4" w:space="0" w:color="auto"/>
            </w:tcBorders>
            <w:shd w:val="clear" w:color="auto" w:fill="auto"/>
          </w:tcPr>
          <w:p w:rsidR="001E2CF2" w:rsidRPr="00C65DD1" w:rsidRDefault="00D44CEF" w:rsidP="00645973">
            <w:pPr>
              <w:rPr>
                <w:rFonts w:ascii="Arial" w:hAnsi="Arial" w:cs="Arial"/>
                <w:spacing w:val="2"/>
                <w:sz w:val="18"/>
                <w:szCs w:val="18"/>
                <w:lang w:val="en-US"/>
              </w:rPr>
            </w:pPr>
            <w:r>
              <w:rPr>
                <w:rFonts w:ascii="Arial" w:hAnsi="Arial" w:cs="Arial"/>
                <w:sz w:val="18"/>
                <w:szCs w:val="18"/>
                <w:lang w:val="fr-FR"/>
              </w:rPr>
              <w:t>Nocif pour les organismes aquatiques, avec des effets à long terme.</w:t>
            </w:r>
          </w:p>
        </w:tc>
      </w:tr>
      <w:tr w:rsidR="001D6575" w:rsidRPr="00C65DD1" w:rsidTr="00F83C6B">
        <w:trPr>
          <w:trHeight w:val="248"/>
        </w:trPr>
        <w:tc>
          <w:tcPr>
            <w:tcW w:w="9288" w:type="dxa"/>
            <w:gridSpan w:val="2"/>
            <w:shd w:val="clear" w:color="auto" w:fill="FF0000"/>
          </w:tcPr>
          <w:p w:rsidR="001D6575" w:rsidRPr="00C65DD1"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fr-FR"/>
              </w:rPr>
              <w:t>Mesures de protection et règles de conduite</w:t>
            </w:r>
          </w:p>
        </w:tc>
      </w:tr>
      <w:tr w:rsidR="001D6575" w:rsidRPr="00F83C6B" w:rsidTr="00F83C6B">
        <w:tc>
          <w:tcPr>
            <w:tcW w:w="2025" w:type="dxa"/>
            <w:tcBorders>
              <w:bottom w:val="single" w:sz="4" w:space="0" w:color="auto"/>
            </w:tcBorders>
            <w:shd w:val="clear" w:color="auto" w:fill="auto"/>
          </w:tcPr>
          <w:p w:rsidR="00232051" w:rsidRPr="00F83C6B" w:rsidRDefault="00D44CEF" w:rsidP="00AE17C9">
            <w:pPr>
              <w:rPr>
                <w:rFonts w:ascii="Arial" w:hAnsi="Arial" w:cs="Arial"/>
              </w:rPr>
            </w:pPr>
            <w:r>
              <w:rPr>
                <w:noProof/>
                <w:lang w:val="fr-FR"/>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D44CEF" w:rsidP="00D44CEF">
            <w:pPr>
              <w:jc w:val="both"/>
              <w:rPr>
                <w:rFonts w:ascii="Arial" w:hAnsi="Arial" w:cs="Arial"/>
                <w:spacing w:val="2"/>
                <w:sz w:val="20"/>
                <w:szCs w:val="20"/>
              </w:rPr>
            </w:pPr>
            <w:r>
              <w:rPr>
                <w:rFonts w:ascii="Arial" w:hAnsi="Arial" w:cs="Arial"/>
                <w:sz w:val="20"/>
                <w:szCs w:val="20"/>
                <w:lang w:val="fr-FR"/>
              </w:rPr>
              <w:t>Veiller à assurer une très bonne ventilation du poste de travail. Ne pas fumer, boire et manger dans les entrepôts et les locaux de travail. Ne pas entreposer non plus de nourriture, de boissons ou de tabac. Signaler immédiatement tout incident aux supérieurs hiérarchiques. Effectuer les réparations de manière conforme et avec précaution. La tuyauterie doit être complètement vidangée. Transporter les récipients fragiles avec la substance uniquement à l'aide d'un récipient de protection (par ex. un seau en plastique avec poignée). Transvaser uniquement dans des réc</w:t>
            </w:r>
            <w:bookmarkStart w:id="0" w:name="_GoBack"/>
            <w:bookmarkEnd w:id="0"/>
            <w:r>
              <w:rPr>
                <w:rFonts w:ascii="Arial" w:hAnsi="Arial" w:cs="Arial"/>
                <w:sz w:val="20"/>
                <w:szCs w:val="20"/>
                <w:lang w:val="fr-FR"/>
              </w:rPr>
              <w:t>ipients propres et résistants aux solutions alcalines.</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fr-FR"/>
              </w:rPr>
              <w:t>Comportement en cas de danger</w:t>
            </w:r>
          </w:p>
        </w:tc>
      </w:tr>
      <w:tr w:rsidR="001D6575" w:rsidRPr="00C65DD1" w:rsidTr="00F83C6B">
        <w:tc>
          <w:tcPr>
            <w:tcW w:w="2025" w:type="dxa"/>
            <w:tcBorders>
              <w:bottom w:val="single" w:sz="4" w:space="0" w:color="auto"/>
            </w:tcBorders>
            <w:shd w:val="clear" w:color="auto" w:fill="auto"/>
          </w:tcPr>
          <w:p w:rsidR="009E4313" w:rsidRDefault="009E4313" w:rsidP="00C839E1">
            <w:pPr>
              <w:rPr>
                <w:noProof/>
              </w:rPr>
            </w:pPr>
          </w:p>
          <w:p w:rsidR="001D6575" w:rsidRPr="00F83C6B" w:rsidRDefault="001D6575" w:rsidP="00C839E1">
            <w:pPr>
              <w:rPr>
                <w:rFonts w:ascii="Arial" w:hAnsi="Arial" w:cs="Arial"/>
              </w:rPr>
            </w:pPr>
          </w:p>
        </w:tc>
        <w:tc>
          <w:tcPr>
            <w:tcW w:w="7263" w:type="dxa"/>
            <w:tcBorders>
              <w:bottom w:val="single" w:sz="4" w:space="0" w:color="auto"/>
            </w:tcBorders>
            <w:shd w:val="clear" w:color="auto" w:fill="auto"/>
          </w:tcPr>
          <w:p w:rsidR="001D6575" w:rsidRPr="00C65DD1" w:rsidRDefault="00D44CEF" w:rsidP="00AE17C9">
            <w:pPr>
              <w:jc w:val="both"/>
              <w:rPr>
                <w:rFonts w:ascii="Arial" w:hAnsi="Arial" w:cs="Arial"/>
                <w:spacing w:val="2"/>
                <w:sz w:val="18"/>
                <w:szCs w:val="18"/>
                <w:lang w:val="en-US"/>
              </w:rPr>
            </w:pPr>
            <w:r>
              <w:rPr>
                <w:rFonts w:ascii="Arial" w:hAnsi="Arial" w:cs="Arial"/>
                <w:sz w:val="20"/>
                <w:szCs w:val="20"/>
                <w:lang w:val="fr-FR"/>
              </w:rPr>
              <w:t>Suivre scrupuleusement les consignes opérationnelles en cas de lutte anti-incendie.</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fr-FR"/>
              </w:rPr>
              <w:t>Premiers secours</w:t>
            </w:r>
          </w:p>
        </w:tc>
      </w:tr>
      <w:tr w:rsidR="00044630" w:rsidRPr="00F83C6B" w:rsidTr="00F83C6B">
        <w:tc>
          <w:tcPr>
            <w:tcW w:w="2025" w:type="dxa"/>
            <w:vMerge w:val="restart"/>
            <w:shd w:val="clear" w:color="auto" w:fill="auto"/>
          </w:tcPr>
          <w:p w:rsidR="00044630" w:rsidRPr="00F83C6B" w:rsidRDefault="00D44CEF" w:rsidP="00C839E1">
            <w:pPr>
              <w:rPr>
                <w:rFonts w:ascii="Arial" w:hAnsi="Arial" w:cs="Arial"/>
              </w:rPr>
            </w:pPr>
            <w:r>
              <w:rPr>
                <w:noProof/>
                <w:lang w:val="fr-FR"/>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044630" w:rsidRDefault="00044630" w:rsidP="00645973">
            <w:pPr>
              <w:jc w:val="both"/>
              <w:rPr>
                <w:rFonts w:ascii="Arial" w:hAnsi="Arial" w:cs="Arial"/>
                <w:spacing w:val="2"/>
                <w:sz w:val="20"/>
                <w:szCs w:val="20"/>
              </w:rPr>
            </w:pPr>
          </w:p>
          <w:p w:rsidR="00F54AD6" w:rsidRDefault="00F54AD6" w:rsidP="00645973">
            <w:pPr>
              <w:jc w:val="both"/>
              <w:rPr>
                <w:rFonts w:ascii="Arial" w:hAnsi="Arial" w:cs="Arial"/>
                <w:spacing w:val="2"/>
                <w:sz w:val="20"/>
                <w:szCs w:val="20"/>
              </w:rPr>
            </w:pPr>
          </w:p>
          <w:p w:rsidR="00F54AD6" w:rsidRDefault="001E2CF2" w:rsidP="00645973">
            <w:pPr>
              <w:jc w:val="both"/>
              <w:rPr>
                <w:rFonts w:ascii="Arial" w:hAnsi="Arial" w:cs="Arial"/>
                <w:spacing w:val="2"/>
                <w:sz w:val="20"/>
                <w:szCs w:val="20"/>
              </w:rPr>
            </w:pPr>
            <w:r>
              <w:rPr>
                <w:rFonts w:ascii="Arial" w:hAnsi="Arial" w:cs="Arial"/>
                <w:sz w:val="20"/>
                <w:szCs w:val="20"/>
                <w:lang w:val="fr-FR"/>
              </w:rPr>
              <w:t>-</w:t>
            </w:r>
          </w:p>
          <w:p w:rsidR="00F54AD6" w:rsidRDefault="00F54AD6" w:rsidP="00645973">
            <w:pPr>
              <w:jc w:val="both"/>
              <w:rPr>
                <w:rFonts w:ascii="Arial" w:hAnsi="Arial" w:cs="Arial"/>
                <w:spacing w:val="2"/>
                <w:sz w:val="20"/>
                <w:szCs w:val="20"/>
              </w:rPr>
            </w:pPr>
          </w:p>
          <w:p w:rsidR="00F54AD6" w:rsidRPr="00F83C6B" w:rsidRDefault="00F54AD6" w:rsidP="00645973">
            <w:pPr>
              <w:jc w:val="both"/>
              <w:rPr>
                <w:rFonts w:ascii="Arial" w:hAnsi="Arial" w:cs="Arial"/>
                <w:bCs/>
                <w:sz w:val="18"/>
                <w:szCs w:val="18"/>
              </w:rPr>
            </w:pP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C65DD1" w:rsidRDefault="00044630" w:rsidP="00F83C6B">
            <w:pPr>
              <w:jc w:val="both"/>
              <w:rPr>
                <w:rFonts w:ascii="Arial" w:hAnsi="Arial" w:cs="Arial"/>
                <w:b/>
                <w:bCs/>
                <w:sz w:val="18"/>
                <w:szCs w:val="18"/>
                <w:lang w:val="en-US"/>
              </w:rPr>
            </w:pPr>
          </w:p>
          <w:p w:rsidR="00044630" w:rsidRPr="00C65DD1" w:rsidRDefault="00044630" w:rsidP="00F83C6B">
            <w:pPr>
              <w:jc w:val="both"/>
              <w:rPr>
                <w:rFonts w:ascii="Arial" w:hAnsi="Arial" w:cs="Arial"/>
                <w:b/>
                <w:bCs/>
                <w:sz w:val="18"/>
                <w:szCs w:val="18"/>
                <w:lang w:val="en-US"/>
              </w:rPr>
            </w:pPr>
            <w:r>
              <w:rPr>
                <w:rFonts w:ascii="Arial" w:hAnsi="Arial" w:cs="Arial"/>
                <w:b/>
                <w:bCs/>
                <w:sz w:val="18"/>
                <w:szCs w:val="18"/>
                <w:lang w:val="fr-FR"/>
              </w:rPr>
              <w:t xml:space="preserve">En cas d’urgence : </w:t>
            </w:r>
          </w:p>
          <w:p w:rsidR="00044630" w:rsidRPr="00C65DD1" w:rsidRDefault="00044630" w:rsidP="00F83C6B">
            <w:pPr>
              <w:jc w:val="both"/>
              <w:rPr>
                <w:rFonts w:ascii="Arial" w:hAnsi="Arial" w:cs="Arial"/>
                <w:b/>
                <w:bCs/>
                <w:sz w:val="18"/>
                <w:szCs w:val="18"/>
                <w:lang w:val="en-US"/>
              </w:rPr>
            </w:pPr>
          </w:p>
          <w:p w:rsidR="00044630" w:rsidRPr="00C65DD1" w:rsidRDefault="00044630" w:rsidP="00F83C6B">
            <w:pPr>
              <w:jc w:val="both"/>
              <w:rPr>
                <w:rFonts w:ascii="Arial" w:hAnsi="Arial" w:cs="Arial"/>
                <w:b/>
                <w:bCs/>
                <w:spacing w:val="-2"/>
                <w:sz w:val="18"/>
                <w:szCs w:val="18"/>
                <w:lang w:val="en-US"/>
              </w:rPr>
            </w:pPr>
            <w:r>
              <w:rPr>
                <w:rFonts w:ascii="Arial" w:hAnsi="Arial" w:cs="Arial"/>
                <w:b/>
                <w:bCs/>
                <w:sz w:val="18"/>
                <w:szCs w:val="18"/>
                <w:lang w:val="fr-FR"/>
              </w:rPr>
              <w:t>Médecin responsable des premiers secours</w:t>
            </w:r>
          </w:p>
          <w:p w:rsidR="00044630" w:rsidRPr="00F83C6B" w:rsidRDefault="00044630" w:rsidP="00C839E1">
            <w:pPr>
              <w:rPr>
                <w:rFonts w:ascii="Arial" w:hAnsi="Arial" w:cs="Arial"/>
                <w:b/>
                <w:bCs/>
                <w:sz w:val="18"/>
                <w:szCs w:val="18"/>
              </w:rPr>
            </w:pPr>
            <w:r>
              <w:rPr>
                <w:rFonts w:ascii="Arial" w:hAnsi="Arial" w:cs="Arial"/>
                <w:b/>
                <w:bCs/>
                <w:sz w:val="18"/>
                <w:szCs w:val="18"/>
                <w:lang w:val="fr-FR"/>
              </w:rPr>
              <w:t>Appel d’urgence</w:t>
            </w:r>
          </w:p>
          <w:p w:rsidR="00044630" w:rsidRPr="00F83C6B" w:rsidRDefault="00044630" w:rsidP="00C839E1">
            <w:pPr>
              <w:rPr>
                <w:rFonts w:ascii="Arial" w:hAnsi="Arial" w:cs="Arial"/>
                <w:bCs/>
                <w:sz w:val="18"/>
                <w:szCs w:val="18"/>
              </w:rPr>
            </w:pPr>
            <w:r>
              <w:rPr>
                <w:rFonts w:ascii="Arial" w:hAnsi="Arial" w:cs="Arial"/>
                <w:b/>
                <w:bCs/>
                <w:sz w:val="18"/>
                <w:szCs w:val="18"/>
                <w:lang w:val="fr-FR"/>
              </w:rPr>
              <w:t>Pompiers</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fr-FR"/>
              </w:rPr>
              <w:t>Élimination professionnelle</w:t>
            </w:r>
          </w:p>
        </w:tc>
      </w:tr>
      <w:tr w:rsidR="0048189E" w:rsidRPr="00F83C6B" w:rsidTr="00F83C6B">
        <w:tc>
          <w:tcPr>
            <w:tcW w:w="2025" w:type="dxa"/>
            <w:vMerge w:val="restart"/>
            <w:shd w:val="clear" w:color="auto" w:fill="auto"/>
          </w:tcPr>
          <w:p w:rsidR="0048189E" w:rsidRPr="00F83C6B" w:rsidRDefault="00D44CEF" w:rsidP="00C839E1">
            <w:pPr>
              <w:rPr>
                <w:rFonts w:ascii="Arial" w:hAnsi="Arial" w:cs="Arial"/>
              </w:rPr>
            </w:pPr>
            <w:r>
              <w:rPr>
                <w:rFonts w:ascii="Arial" w:hAnsi="Arial" w:cs="Arial"/>
                <w:noProof/>
                <w:lang w:val="fr-FR"/>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48189E" w:rsidRDefault="0048189E" w:rsidP="00645973">
            <w:pPr>
              <w:jc w:val="both"/>
              <w:rPr>
                <w:rFonts w:ascii="Arial" w:hAnsi="Arial" w:cs="Arial"/>
                <w:sz w:val="20"/>
                <w:szCs w:val="20"/>
              </w:rPr>
            </w:pPr>
          </w:p>
          <w:p w:rsidR="00F54AD6" w:rsidRDefault="001E2CF2" w:rsidP="00645973">
            <w:pPr>
              <w:jc w:val="both"/>
              <w:rPr>
                <w:rFonts w:ascii="Arial" w:hAnsi="Arial" w:cs="Arial"/>
                <w:sz w:val="20"/>
                <w:szCs w:val="20"/>
              </w:rPr>
            </w:pPr>
            <w:r>
              <w:rPr>
                <w:rFonts w:ascii="Arial" w:hAnsi="Arial" w:cs="Arial"/>
                <w:sz w:val="20"/>
                <w:szCs w:val="20"/>
                <w:lang w:val="fr-FR"/>
              </w:rPr>
              <w:t>-</w:t>
            </w:r>
          </w:p>
          <w:p w:rsidR="00F54AD6" w:rsidRDefault="00F54AD6" w:rsidP="00645973">
            <w:pPr>
              <w:jc w:val="both"/>
              <w:rPr>
                <w:rFonts w:ascii="Arial" w:hAnsi="Arial" w:cs="Arial"/>
                <w:sz w:val="20"/>
                <w:szCs w:val="20"/>
              </w:rPr>
            </w:pPr>
          </w:p>
          <w:p w:rsidR="00F54AD6" w:rsidRDefault="00F54AD6" w:rsidP="00645973">
            <w:pPr>
              <w:jc w:val="both"/>
              <w:rPr>
                <w:rFonts w:ascii="Arial" w:hAnsi="Arial" w:cs="Arial"/>
                <w:sz w:val="20"/>
                <w:szCs w:val="20"/>
              </w:rPr>
            </w:pPr>
          </w:p>
          <w:p w:rsidR="00F54AD6" w:rsidRPr="00F83C6B" w:rsidRDefault="00F54AD6" w:rsidP="00645973">
            <w:pPr>
              <w:jc w:val="both"/>
              <w:rPr>
                <w:rFonts w:ascii="Arial" w:hAnsi="Arial" w:cs="Arial"/>
                <w:bCs/>
                <w:spacing w:val="-2"/>
                <w:sz w:val="18"/>
                <w:szCs w:val="18"/>
              </w:rPr>
            </w:pPr>
          </w:p>
        </w:tc>
      </w:tr>
      <w:tr w:rsidR="0048189E" w:rsidRPr="00C65DD1" w:rsidTr="00F83C6B">
        <w:tc>
          <w:tcPr>
            <w:tcW w:w="2025" w:type="dxa"/>
            <w:vMerge/>
            <w:shd w:val="clear" w:color="auto" w:fill="auto"/>
          </w:tcPr>
          <w:p w:rsidR="0048189E" w:rsidRPr="00F83C6B" w:rsidRDefault="0048189E" w:rsidP="00C839E1">
            <w:pPr>
              <w:rPr>
                <w:rFonts w:ascii="Arial" w:hAnsi="Arial" w:cs="Arial"/>
              </w:rPr>
            </w:pPr>
          </w:p>
        </w:tc>
        <w:tc>
          <w:tcPr>
            <w:tcW w:w="7263" w:type="dxa"/>
            <w:shd w:val="clear" w:color="auto" w:fill="auto"/>
          </w:tcPr>
          <w:p w:rsidR="0048189E" w:rsidRPr="00C65DD1" w:rsidRDefault="0048189E" w:rsidP="00C839E1">
            <w:pPr>
              <w:rPr>
                <w:rFonts w:ascii="Arial" w:hAnsi="Arial" w:cs="Arial"/>
                <w:b/>
                <w:bCs/>
                <w:sz w:val="18"/>
                <w:szCs w:val="18"/>
                <w:lang w:val="en-US"/>
              </w:rPr>
            </w:pPr>
          </w:p>
          <w:p w:rsidR="0048189E" w:rsidRPr="00C65DD1" w:rsidRDefault="0048189E" w:rsidP="00C839E1">
            <w:pPr>
              <w:rPr>
                <w:rFonts w:ascii="Arial" w:hAnsi="Arial" w:cs="Arial"/>
                <w:b/>
                <w:bCs/>
                <w:sz w:val="18"/>
                <w:szCs w:val="18"/>
                <w:lang w:val="en-US"/>
              </w:rPr>
            </w:pPr>
            <w:r>
              <w:rPr>
                <w:rFonts w:ascii="Arial" w:hAnsi="Arial" w:cs="Arial"/>
                <w:sz w:val="18"/>
                <w:szCs w:val="18"/>
                <w:lang w:val="fr-FR"/>
              </w:rPr>
              <w:tab/>
            </w:r>
            <w:r>
              <w:rPr>
                <w:rFonts w:ascii="Arial" w:hAnsi="Arial" w:cs="Arial"/>
                <w:sz w:val="18"/>
                <w:szCs w:val="18"/>
                <w:lang w:val="fr-FR"/>
              </w:rPr>
              <w:tab/>
            </w:r>
            <w:r>
              <w:rPr>
                <w:rFonts w:ascii="Arial" w:hAnsi="Arial" w:cs="Arial"/>
                <w:b/>
                <w:bCs/>
                <w:sz w:val="18"/>
                <w:szCs w:val="18"/>
                <w:lang w:val="fr-FR"/>
              </w:rPr>
              <w:t>Rédacteur</w:t>
            </w:r>
            <w:r>
              <w:rPr>
                <w:rFonts w:ascii="Arial" w:hAnsi="Arial" w:cs="Arial"/>
                <w:sz w:val="18"/>
                <w:szCs w:val="18"/>
                <w:lang w:val="fr-FR"/>
              </w:rPr>
              <w:tab/>
            </w:r>
            <w:r>
              <w:rPr>
                <w:rFonts w:ascii="Arial" w:hAnsi="Arial" w:cs="Arial"/>
                <w:sz w:val="18"/>
                <w:szCs w:val="18"/>
                <w:lang w:val="fr-FR"/>
              </w:rPr>
              <w:tab/>
            </w:r>
            <w:r>
              <w:rPr>
                <w:rFonts w:ascii="Arial" w:hAnsi="Arial" w:cs="Arial"/>
                <w:b/>
                <w:bCs/>
                <w:sz w:val="18"/>
                <w:szCs w:val="18"/>
                <w:lang w:val="fr-FR"/>
              </w:rPr>
              <w:t>Contrôle</w:t>
            </w:r>
            <w:r>
              <w:rPr>
                <w:rFonts w:ascii="Arial" w:hAnsi="Arial" w:cs="Arial"/>
                <w:sz w:val="18"/>
                <w:szCs w:val="18"/>
                <w:lang w:val="fr-FR"/>
              </w:rPr>
              <w:tab/>
            </w:r>
            <w:r>
              <w:rPr>
                <w:rFonts w:ascii="Arial" w:hAnsi="Arial" w:cs="Arial"/>
                <w:sz w:val="18"/>
                <w:szCs w:val="18"/>
                <w:lang w:val="fr-FR"/>
              </w:rPr>
              <w:tab/>
            </w:r>
            <w:r>
              <w:rPr>
                <w:rFonts w:ascii="Arial" w:hAnsi="Arial" w:cs="Arial"/>
                <w:b/>
                <w:bCs/>
                <w:sz w:val="18"/>
                <w:szCs w:val="18"/>
                <w:lang w:val="fr-FR"/>
              </w:rPr>
              <w:t>Validation</w:t>
            </w:r>
          </w:p>
          <w:p w:rsidR="0048189E" w:rsidRPr="00C65DD1" w:rsidRDefault="0048189E" w:rsidP="00C839E1">
            <w:pPr>
              <w:rPr>
                <w:rFonts w:ascii="Arial" w:hAnsi="Arial" w:cs="Arial"/>
                <w:b/>
                <w:bCs/>
                <w:sz w:val="18"/>
                <w:szCs w:val="18"/>
                <w:lang w:val="en-US"/>
              </w:rPr>
            </w:pPr>
          </w:p>
          <w:p w:rsidR="0048189E" w:rsidRPr="00C65DD1" w:rsidRDefault="0048189E" w:rsidP="00C839E1">
            <w:pPr>
              <w:rPr>
                <w:rFonts w:ascii="Arial" w:hAnsi="Arial" w:cs="Arial"/>
                <w:b/>
                <w:bCs/>
                <w:sz w:val="18"/>
                <w:szCs w:val="18"/>
                <w:lang w:val="en-US"/>
              </w:rPr>
            </w:pPr>
            <w:r>
              <w:rPr>
                <w:rFonts w:ascii="Arial" w:hAnsi="Arial" w:cs="Arial"/>
                <w:b/>
                <w:bCs/>
                <w:sz w:val="18"/>
                <w:szCs w:val="18"/>
                <w:lang w:val="fr-FR"/>
              </w:rPr>
              <w:t>Date</w:t>
            </w:r>
          </w:p>
          <w:p w:rsidR="0048189E" w:rsidRPr="00C65DD1" w:rsidRDefault="0048189E" w:rsidP="00C839E1">
            <w:pPr>
              <w:rPr>
                <w:rFonts w:ascii="Arial" w:hAnsi="Arial" w:cs="Arial"/>
                <w:b/>
                <w:bCs/>
                <w:sz w:val="18"/>
                <w:szCs w:val="18"/>
                <w:lang w:val="en-US"/>
              </w:rPr>
            </w:pPr>
            <w:r>
              <w:rPr>
                <w:rFonts w:ascii="Arial" w:hAnsi="Arial" w:cs="Arial"/>
                <w:b/>
                <w:bCs/>
                <w:sz w:val="18"/>
                <w:szCs w:val="18"/>
                <w:lang w:val="fr-FR"/>
              </w:rPr>
              <w:t>Nom</w:t>
            </w:r>
          </w:p>
          <w:p w:rsidR="0048189E" w:rsidRPr="00C65DD1" w:rsidRDefault="0048189E" w:rsidP="00C839E1">
            <w:pPr>
              <w:rPr>
                <w:rFonts w:ascii="Arial" w:hAnsi="Arial" w:cs="Arial"/>
                <w:bCs/>
                <w:spacing w:val="-2"/>
                <w:sz w:val="18"/>
                <w:szCs w:val="18"/>
                <w:lang w:val="en-US"/>
              </w:rPr>
            </w:pPr>
            <w:r>
              <w:rPr>
                <w:rFonts w:ascii="Arial" w:hAnsi="Arial" w:cs="Arial"/>
                <w:b/>
                <w:bCs/>
                <w:sz w:val="18"/>
                <w:szCs w:val="18"/>
                <w:lang w:val="fr-FR"/>
              </w:rPr>
              <w:t>Signature</w:t>
            </w:r>
          </w:p>
        </w:tc>
      </w:tr>
    </w:tbl>
    <w:p w:rsidR="00D664D0" w:rsidRPr="00C65DD1" w:rsidRDefault="00D664D0" w:rsidP="00C839E1">
      <w:pPr>
        <w:rPr>
          <w:rFonts w:ascii="Arial" w:hAnsi="Arial" w:cs="Arial"/>
          <w:lang w:val="en-US"/>
        </w:rPr>
      </w:pPr>
    </w:p>
    <w:sectPr w:rsidR="00D664D0" w:rsidRPr="00C65DD1"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CEF"/>
    <w:rsid w:val="00044630"/>
    <w:rsid w:val="001477D0"/>
    <w:rsid w:val="001D6575"/>
    <w:rsid w:val="001E2CF2"/>
    <w:rsid w:val="001F58AF"/>
    <w:rsid w:val="00232051"/>
    <w:rsid w:val="00290FA6"/>
    <w:rsid w:val="003B1A62"/>
    <w:rsid w:val="003B4F1C"/>
    <w:rsid w:val="0048189E"/>
    <w:rsid w:val="004B4916"/>
    <w:rsid w:val="005B5D41"/>
    <w:rsid w:val="005F5D24"/>
    <w:rsid w:val="00645973"/>
    <w:rsid w:val="00674E04"/>
    <w:rsid w:val="00694DF9"/>
    <w:rsid w:val="006D16BE"/>
    <w:rsid w:val="006F163F"/>
    <w:rsid w:val="007237EE"/>
    <w:rsid w:val="00780741"/>
    <w:rsid w:val="00792B6B"/>
    <w:rsid w:val="0086037E"/>
    <w:rsid w:val="008A7C66"/>
    <w:rsid w:val="008F6C6B"/>
    <w:rsid w:val="00900F60"/>
    <w:rsid w:val="009C3CB5"/>
    <w:rsid w:val="009E4313"/>
    <w:rsid w:val="00A25BB7"/>
    <w:rsid w:val="00AE17C9"/>
    <w:rsid w:val="00B137C4"/>
    <w:rsid w:val="00B74AE7"/>
    <w:rsid w:val="00BF1FF8"/>
    <w:rsid w:val="00C65DD1"/>
    <w:rsid w:val="00C839E1"/>
    <w:rsid w:val="00CF2C6C"/>
    <w:rsid w:val="00D44CEF"/>
    <w:rsid w:val="00D664D0"/>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867D6F-F348-46E9-966C-A22D3BBE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178</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2</cp:revision>
  <cp:lastPrinted>2006-02-22T10:13:00Z</cp:lastPrinted>
  <dcterms:created xsi:type="dcterms:W3CDTF">2017-06-07T14:11:00Z</dcterms:created>
  <dcterms:modified xsi:type="dcterms:W3CDTF">2019-05-22T13:12:00Z</dcterms:modified>
</cp:coreProperties>
</file>